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BA" w:rsidRPr="00FC41BA" w:rsidRDefault="00FC41BA" w:rsidP="00FC41BA">
      <w:pPr>
        <w:spacing w:after="0" w:line="240" w:lineRule="atLeast"/>
        <w:jc w:val="center"/>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TAŞINMAZ MAL SATILACAKTIR</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b/>
          <w:bCs/>
          <w:color w:val="0000FF"/>
          <w:sz w:val="18"/>
          <w:szCs w:val="18"/>
          <w:lang w:eastAsia="tr-TR"/>
        </w:rPr>
        <w:t>Kadirli </w:t>
      </w:r>
      <w:proofErr w:type="spellStart"/>
      <w:r w:rsidRPr="00FC41BA">
        <w:rPr>
          <w:rFonts w:ascii="Times New Roman" w:eastAsia="Times New Roman" w:hAnsi="Times New Roman" w:cs="Times New Roman"/>
          <w:b/>
          <w:bCs/>
          <w:color w:val="0000FF"/>
          <w:sz w:val="18"/>
          <w:szCs w:val="18"/>
          <w:lang w:eastAsia="tr-TR"/>
        </w:rPr>
        <w:t>Malmüdürlüğünden</w:t>
      </w:r>
      <w:proofErr w:type="spellEnd"/>
      <w:r w:rsidRPr="00FC41BA">
        <w:rPr>
          <w:rFonts w:ascii="Times New Roman" w:eastAsia="Times New Roman" w:hAnsi="Times New Roman" w:cs="Times New Roman"/>
          <w:b/>
          <w:bCs/>
          <w:color w:val="0000FF"/>
          <w:sz w:val="18"/>
          <w:szCs w:val="18"/>
          <w:lang w:eastAsia="tr-TR"/>
        </w:rPr>
        <w:t>:</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1 - Aşağıda her türlü nitelikleri belirtilen mülkiyeti hazineye ait sınırları içerisinde bulunan taşınmaz malın hizasında belirtilen tarih ve saatte 2886 sayılı Devlet İhale Kanununun 45. maddesine göre Açık Teklif usulü ile Satış işlemi, Malmüdürü Makam odasında toplanacak komisyon tarafından yapılacaktır.</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2 - İhaleye ilişkin şartname ve ekleri mesai saatleri içinde Kadirli </w:t>
      </w:r>
      <w:proofErr w:type="spellStart"/>
      <w:r w:rsidRPr="00FC41BA">
        <w:rPr>
          <w:rFonts w:ascii="Times New Roman" w:eastAsia="Times New Roman" w:hAnsi="Times New Roman" w:cs="Times New Roman"/>
          <w:color w:val="000000"/>
          <w:sz w:val="18"/>
          <w:szCs w:val="18"/>
          <w:lang w:eastAsia="tr-TR"/>
        </w:rPr>
        <w:t>Malmüdürlüğünde</w:t>
      </w:r>
      <w:proofErr w:type="spellEnd"/>
      <w:r w:rsidRPr="00FC41BA">
        <w:rPr>
          <w:rFonts w:ascii="Times New Roman" w:eastAsia="Times New Roman" w:hAnsi="Times New Roman" w:cs="Times New Roman"/>
          <w:color w:val="000000"/>
          <w:sz w:val="18"/>
          <w:szCs w:val="18"/>
          <w:lang w:eastAsia="tr-TR"/>
        </w:rPr>
        <w:t> (Milli Emlak Servisi) ücretsiz görülebilir.</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3 - İhaleye katılabilmek için istekliler, Geçici Teminat; (Tedavüldeki Türk Parası, mevduat ve katılım bankalarının verecekleri süresiz teminat mektupları ve Hazine Müsteşarlığınca ihraç edilen Devlet İç Borçlanma senetleri veya bu senetler yerine düzenlenen belgeleri), Yasal yerleşim yerini gösterir belgeyi, Tebligat için Türkiye’de adres göstermeleri, Gerçek kişilerin T.C. Kimlik numaralarını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 Sanayi odasının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FC41BA">
        <w:rPr>
          <w:rFonts w:ascii="Times New Roman" w:eastAsia="Times New Roman" w:hAnsi="Times New Roman" w:cs="Times New Roman"/>
          <w:color w:val="000000"/>
          <w:sz w:val="18"/>
          <w:szCs w:val="18"/>
          <w:lang w:eastAsia="tr-TR"/>
        </w:rPr>
        <w:t>vekaletnameyi</w:t>
      </w:r>
      <w:proofErr w:type="gramEnd"/>
      <w:r w:rsidRPr="00FC41BA">
        <w:rPr>
          <w:rFonts w:ascii="Times New Roman" w:eastAsia="Times New Roman" w:hAnsi="Times New Roman" w:cs="Times New Roman"/>
          <w:color w:val="000000"/>
          <w:sz w:val="18"/>
          <w:szCs w:val="18"/>
          <w:lang w:eastAsia="tr-TR"/>
        </w:rPr>
        <w:t> ihale saatine kadar vermeleri, kamu tüzel kişilerin ise tüzel kişilik adına ihaleye katılacak veya teklifte bulunacak kişilerin tüzel kişiliği temsile yetkili olduğunu belirtir belgeleri ihale saatine kadar komisyon başkanlığına teslim etmeleri zorunludur.</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4 - Taşınmaz mal bedelinin taksitle ödenmesi halinde, satış bedelinin en az 1/4’i peşin, kalanı ise 2 yılda ve taksitlerle kanuni faiz ile birlikte ödenir.</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5 - Posta ile yapılacak müracaatlarda teklifin 2886 sayılı Devlet İhale Kanununun 37. maddesine uygun olarak hazırlanması ve teklifin ihale saatinden önce komisyona ulaşması şarttır. Postada meydana gelebilecek gecikmelerden dolayı idare veya komisyon herhangi bir sorumluluk kabul etmez.</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6 - İsteklilerin ihale saatine kadar ihale komisyonuna ulaşmış olması kaydıyla yukarıda belirtilen belgelerle birlikte, 2886 sayılı Kanunun 37. Maddesine göre hazırlayacakları teklif mektuplarını aynı Kanunun 46. maddesine göre posta ile iadeli ve taahhütlü olarak gönderebilirler. Postadan doğan gecikmeler kabul edilmez.</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7 - Taşınmazların satış bedeli talep edilmesi halinde, 4706 sayılı Kanunun 5. maddesine göre kanuni faiz ile birlikte (24) ay, (8) eşit taksitle </w:t>
      </w:r>
      <w:r w:rsidRPr="00FC41BA">
        <w:rPr>
          <w:rFonts w:ascii="Times New Roman" w:eastAsia="Times New Roman" w:hAnsi="Times New Roman" w:cs="Times New Roman"/>
          <w:color w:val="000000"/>
          <w:spacing w:val="2"/>
          <w:sz w:val="18"/>
          <w:szCs w:val="18"/>
          <w:lang w:eastAsia="tr-TR"/>
        </w:rPr>
        <w:t>ödenebilir. </w:t>
      </w:r>
      <w:proofErr w:type="gramStart"/>
      <w:r w:rsidRPr="00FC41BA">
        <w:rPr>
          <w:rFonts w:ascii="Times New Roman" w:eastAsia="Times New Roman" w:hAnsi="Times New Roman" w:cs="Times New Roman"/>
          <w:color w:val="000000"/>
          <w:spacing w:val="2"/>
          <w:sz w:val="18"/>
          <w:szCs w:val="18"/>
          <w:lang w:eastAsia="tr-TR"/>
        </w:rPr>
        <w:t>Hazineye ait taşınmazların satışı KDV’ne tabi olmadığı gibi bu satış ve devir işlemleri sırasında düzenlenen belgeler vergi, resim ve harçtan ve</w:t>
      </w:r>
      <w:r w:rsidRPr="00FC41BA">
        <w:rPr>
          <w:rFonts w:ascii="Times New Roman" w:eastAsia="Times New Roman" w:hAnsi="Times New Roman" w:cs="Times New Roman"/>
          <w:color w:val="000000"/>
          <w:sz w:val="18"/>
          <w:szCs w:val="18"/>
          <w:lang w:eastAsia="tr-TR"/>
        </w:rPr>
        <w:t> 5 (Beş) yıl süre ile Emlak Vergisinden müstesna tutulmuş olup, taşınmazların satış bedelinin taksitle ödenmek istenmesi halinde 4706 sayılı Kanunun 5’inci Maddesinde yapılan düzenleme ile taksitli satışlarda, taksitlendirme dışında bırakılacak bedel ile taksit süresi ve sayısını belirlemeye Bakanlık yetkili olup, Belediye ve Mücavir Alan Sınırları içerisinde 5.000,00 </w:t>
      </w:r>
      <w:r w:rsidRPr="00FC41BA">
        <w:rPr>
          <w:rFonts w:ascii="AbakuTLSymSans" w:eastAsia="Times New Roman" w:hAnsi="AbakuTLSymSans" w:cs="Times New Roman"/>
          <w:color w:val="000000"/>
          <w:sz w:val="18"/>
          <w:szCs w:val="18"/>
          <w:lang w:eastAsia="tr-TR"/>
        </w:rPr>
        <w:t>¨</w:t>
      </w:r>
      <w:r w:rsidRPr="00FC41BA">
        <w:rPr>
          <w:rFonts w:ascii="Times New Roman" w:eastAsia="Times New Roman" w:hAnsi="Times New Roman" w:cs="Times New Roman"/>
          <w:color w:val="000000"/>
          <w:sz w:val="18"/>
          <w:szCs w:val="18"/>
          <w:lang w:eastAsia="tr-TR"/>
        </w:rPr>
        <w:t>’sini Mücavir Alan Dışında köylerde ise 1.000,00 </w:t>
      </w:r>
      <w:r w:rsidRPr="00FC41BA">
        <w:rPr>
          <w:rFonts w:ascii="AbakuTLSymSans" w:eastAsia="Times New Roman" w:hAnsi="AbakuTLSymSans" w:cs="Times New Roman"/>
          <w:color w:val="000000"/>
          <w:sz w:val="18"/>
          <w:szCs w:val="18"/>
          <w:lang w:eastAsia="tr-TR"/>
        </w:rPr>
        <w:t>¨’</w:t>
      </w:r>
      <w:r w:rsidRPr="00FC41BA">
        <w:rPr>
          <w:rFonts w:ascii="Times New Roman" w:eastAsia="Times New Roman" w:hAnsi="Times New Roman" w:cs="Times New Roman"/>
          <w:color w:val="000000"/>
          <w:sz w:val="18"/>
          <w:szCs w:val="18"/>
          <w:lang w:eastAsia="tr-TR"/>
        </w:rPr>
        <w:t>sini geçtiği takdirde taksitlendirme yapılabilecektir.</w:t>
      </w:r>
      <w:proofErr w:type="gramEnd"/>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8 - Komisyon ihaleyi yapıp yapmamakta serbesttir.</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Türkiye genelinde ihale bilgileri http//www.milliemlak.gov.tr.ve http//www.osmaniyedefterdarlığı.gov.tr.adresinden öğrenilebilir.</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BİLGİ İÇİN İRTİBAT TEL</w:t>
      </w:r>
      <w:proofErr w:type="gramStart"/>
      <w:r w:rsidRPr="00FC41BA">
        <w:rPr>
          <w:rFonts w:ascii="Times New Roman" w:eastAsia="Times New Roman" w:hAnsi="Times New Roman" w:cs="Times New Roman"/>
          <w:color w:val="000000"/>
          <w:sz w:val="18"/>
          <w:szCs w:val="18"/>
          <w:lang w:eastAsia="tr-TR"/>
        </w:rPr>
        <w:t>.:</w:t>
      </w:r>
      <w:proofErr w:type="gramEnd"/>
      <w:r w:rsidRPr="00FC41BA">
        <w:rPr>
          <w:rFonts w:ascii="Times New Roman" w:eastAsia="Times New Roman" w:hAnsi="Times New Roman" w:cs="Times New Roman"/>
          <w:color w:val="000000"/>
          <w:sz w:val="18"/>
          <w:szCs w:val="18"/>
          <w:lang w:eastAsia="tr-TR"/>
        </w:rPr>
        <w:t> 0328 718 2244</w:t>
      </w:r>
    </w:p>
    <w:p w:rsidR="00FC41BA" w:rsidRPr="00FC41BA" w:rsidRDefault="00FC41BA" w:rsidP="00FC41BA">
      <w:pPr>
        <w:spacing w:after="0" w:line="240" w:lineRule="atLeast"/>
        <w:ind w:firstLine="567"/>
        <w:jc w:val="both"/>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 </w:t>
      </w:r>
    </w:p>
    <w:tbl>
      <w:tblPr>
        <w:tblW w:w="14488" w:type="dxa"/>
        <w:tblInd w:w="567" w:type="dxa"/>
        <w:tblCellMar>
          <w:left w:w="0" w:type="dxa"/>
          <w:right w:w="0" w:type="dxa"/>
        </w:tblCellMar>
        <w:tblLook w:val="04A0" w:firstRow="1" w:lastRow="0" w:firstColumn="1" w:lastColumn="0" w:noHBand="0" w:noVBand="1"/>
      </w:tblPr>
      <w:tblGrid>
        <w:gridCol w:w="499"/>
        <w:gridCol w:w="1181"/>
        <w:gridCol w:w="1087"/>
        <w:gridCol w:w="3426"/>
        <w:gridCol w:w="540"/>
        <w:gridCol w:w="642"/>
        <w:gridCol w:w="580"/>
        <w:gridCol w:w="1417"/>
        <w:gridCol w:w="1112"/>
        <w:gridCol w:w="1156"/>
        <w:gridCol w:w="1134"/>
        <w:gridCol w:w="1021"/>
        <w:gridCol w:w="693"/>
      </w:tblGrid>
      <w:tr w:rsidR="00FC41BA" w:rsidRPr="00FC41BA" w:rsidTr="00FC41BA">
        <w:trPr>
          <w:trHeight w:val="20"/>
        </w:trPr>
        <w:tc>
          <w:tcPr>
            <w:tcW w:w="0" w:type="auto"/>
            <w:tcBorders>
              <w:top w:val="single" w:sz="8" w:space="0" w:color="auto"/>
              <w:left w:val="single" w:sz="8" w:space="0" w:color="auto"/>
              <w:bottom w:val="single" w:sz="8" w:space="0" w:color="auto"/>
              <w:right w:val="single" w:sz="8" w:space="0" w:color="auto"/>
            </w:tcBorders>
            <w:vAlign w:val="bottom"/>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Sıra</w:t>
            </w:r>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No</w:t>
            </w:r>
          </w:p>
        </w:tc>
        <w:tc>
          <w:tcPr>
            <w:tcW w:w="1181"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Taşınmaz</w:t>
            </w:r>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No</w:t>
            </w:r>
          </w:p>
        </w:tc>
        <w:tc>
          <w:tcPr>
            <w:tcW w:w="1087"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Mahalle/ Köy</w:t>
            </w:r>
          </w:p>
        </w:tc>
        <w:tc>
          <w:tcPr>
            <w:tcW w:w="3426"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İmar Durumu</w:t>
            </w:r>
          </w:p>
        </w:tc>
        <w:tc>
          <w:tcPr>
            <w:tcW w:w="540"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Ada</w:t>
            </w:r>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No</w:t>
            </w:r>
          </w:p>
        </w:tc>
        <w:tc>
          <w:tcPr>
            <w:tcW w:w="642"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Parsel</w:t>
            </w:r>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No</w:t>
            </w:r>
          </w:p>
        </w:tc>
        <w:tc>
          <w:tcPr>
            <w:tcW w:w="580"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Cinsi</w:t>
            </w:r>
          </w:p>
        </w:tc>
        <w:tc>
          <w:tcPr>
            <w:tcW w:w="1417"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Taşınmaz Yüzölçümü (m</w:t>
            </w:r>
            <w:r w:rsidRPr="00FC41BA">
              <w:rPr>
                <w:rFonts w:ascii="Times New Roman" w:eastAsia="Times New Roman" w:hAnsi="Times New Roman" w:cs="Times New Roman"/>
                <w:sz w:val="18"/>
                <w:szCs w:val="18"/>
                <w:vertAlign w:val="superscript"/>
                <w:lang w:eastAsia="tr-TR"/>
              </w:rPr>
              <w:t>2</w:t>
            </w:r>
            <w:r w:rsidRPr="00FC41BA">
              <w:rPr>
                <w:rFonts w:ascii="Times New Roman" w:eastAsia="Times New Roman" w:hAnsi="Times New Roman" w:cs="Times New Roman"/>
                <w:sz w:val="18"/>
                <w:szCs w:val="18"/>
                <w:lang w:eastAsia="tr-TR"/>
              </w:rPr>
              <w:t>)</w:t>
            </w:r>
          </w:p>
        </w:tc>
        <w:tc>
          <w:tcPr>
            <w:tcW w:w="1112"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Hazine Hissesi (m</w:t>
            </w:r>
            <w:r w:rsidRPr="00FC41BA">
              <w:rPr>
                <w:rFonts w:ascii="Times New Roman" w:eastAsia="Times New Roman" w:hAnsi="Times New Roman" w:cs="Times New Roman"/>
                <w:sz w:val="18"/>
                <w:szCs w:val="18"/>
                <w:vertAlign w:val="superscript"/>
                <w:lang w:eastAsia="tr-TR"/>
              </w:rPr>
              <w:t>2</w:t>
            </w:r>
            <w:r w:rsidRPr="00FC41BA">
              <w:rPr>
                <w:rFonts w:ascii="Times New Roman" w:eastAsia="Times New Roman" w:hAnsi="Times New Roman" w:cs="Times New Roman"/>
                <w:sz w:val="18"/>
                <w:szCs w:val="18"/>
                <w:lang w:eastAsia="tr-TR"/>
              </w:rPr>
              <w:t>)</w:t>
            </w:r>
          </w:p>
        </w:tc>
        <w:tc>
          <w:tcPr>
            <w:tcW w:w="1156"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Muhammen Bedeli (</w:t>
            </w:r>
            <w:r w:rsidRPr="00FC41BA">
              <w:rPr>
                <w:rFonts w:ascii="AbakuTLSymSans" w:eastAsia="Times New Roman" w:hAnsi="AbakuTLSymSans" w:cs="Times New Roman"/>
                <w:sz w:val="18"/>
                <w:szCs w:val="18"/>
                <w:lang w:eastAsia="tr-TR"/>
              </w:rPr>
              <w:t>¨</w:t>
            </w:r>
            <w:r w:rsidRPr="00FC41BA">
              <w:rPr>
                <w:rFonts w:ascii="Times New Roman" w:eastAsia="Times New Roman" w:hAnsi="Times New Roman" w:cs="Times New Roman"/>
                <w:color w:val="000000"/>
                <w:sz w:val="18"/>
                <w:szCs w:val="18"/>
                <w:lang w:eastAsia="tr-TR"/>
              </w:rPr>
              <w:t>)</w:t>
            </w:r>
          </w:p>
        </w:tc>
        <w:tc>
          <w:tcPr>
            <w:tcW w:w="1134"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Geçici Teminat (</w:t>
            </w:r>
            <w:r w:rsidRPr="00FC41BA">
              <w:rPr>
                <w:rFonts w:ascii="AbakuTLSymSans" w:eastAsia="Times New Roman" w:hAnsi="AbakuTLSymSans" w:cs="Times New Roman"/>
                <w:sz w:val="18"/>
                <w:szCs w:val="18"/>
                <w:lang w:eastAsia="tr-TR"/>
              </w:rPr>
              <w:t>¨</w:t>
            </w:r>
            <w:r w:rsidRPr="00FC41BA">
              <w:rPr>
                <w:rFonts w:ascii="Times New Roman" w:eastAsia="Times New Roman" w:hAnsi="Times New Roman" w:cs="Times New Roman"/>
                <w:color w:val="000000"/>
                <w:sz w:val="18"/>
                <w:szCs w:val="18"/>
                <w:lang w:eastAsia="tr-TR"/>
              </w:rPr>
              <w:t>)</w:t>
            </w:r>
          </w:p>
        </w:tc>
        <w:tc>
          <w:tcPr>
            <w:tcW w:w="1021" w:type="dxa"/>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İhale</w:t>
            </w:r>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vAlign w:val="bottom"/>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İhale</w:t>
            </w:r>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Saati</w:t>
            </w:r>
          </w:p>
        </w:tc>
      </w:tr>
      <w:tr w:rsidR="00FC41BA" w:rsidRPr="00FC41BA" w:rsidTr="00FC41BA">
        <w:trPr>
          <w:trHeight w:val="20"/>
        </w:trPr>
        <w:tc>
          <w:tcPr>
            <w:tcW w:w="0" w:type="auto"/>
            <w:tcBorders>
              <w:top w:val="nil"/>
              <w:left w:val="single" w:sz="8" w:space="0" w:color="auto"/>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1</w:t>
            </w:r>
          </w:p>
        </w:tc>
        <w:tc>
          <w:tcPr>
            <w:tcW w:w="1181"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proofErr w:type="gramStart"/>
            <w:r w:rsidRPr="00FC41BA">
              <w:rPr>
                <w:rFonts w:ascii="Times New Roman" w:eastAsia="Times New Roman" w:hAnsi="Times New Roman" w:cs="Times New Roman"/>
                <w:sz w:val="18"/>
                <w:szCs w:val="18"/>
                <w:lang w:eastAsia="tr-TR"/>
              </w:rPr>
              <w:t>80060107905</w:t>
            </w:r>
            <w:proofErr w:type="gramEnd"/>
          </w:p>
        </w:tc>
        <w:tc>
          <w:tcPr>
            <w:tcW w:w="1087" w:type="dxa"/>
            <w:tcBorders>
              <w:top w:val="nil"/>
              <w:left w:val="nil"/>
              <w:bottom w:val="single" w:sz="8" w:space="0" w:color="auto"/>
              <w:right w:val="single" w:sz="8" w:space="0" w:color="auto"/>
            </w:tcBorders>
            <w:vAlign w:val="center"/>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proofErr w:type="spellStart"/>
            <w:r w:rsidRPr="00FC41BA">
              <w:rPr>
                <w:rFonts w:ascii="Times New Roman" w:eastAsia="Times New Roman" w:hAnsi="Times New Roman" w:cs="Times New Roman"/>
                <w:sz w:val="18"/>
                <w:szCs w:val="18"/>
                <w:lang w:eastAsia="tr-TR"/>
              </w:rPr>
              <w:t>Cemalpaşa</w:t>
            </w:r>
            <w:proofErr w:type="spellEnd"/>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Mahallesi</w:t>
            </w:r>
          </w:p>
        </w:tc>
        <w:tc>
          <w:tcPr>
            <w:tcW w:w="3426" w:type="dxa"/>
            <w:tcBorders>
              <w:top w:val="nil"/>
              <w:left w:val="nil"/>
              <w:bottom w:val="single" w:sz="8" w:space="0" w:color="auto"/>
              <w:right w:val="single" w:sz="8" w:space="0" w:color="auto"/>
            </w:tcBorders>
            <w:vAlign w:val="center"/>
            <w:hideMark/>
          </w:tcPr>
          <w:p w:rsidR="00FC41BA" w:rsidRPr="00FC41BA" w:rsidRDefault="00FC41BA" w:rsidP="00FC41BA">
            <w:pPr>
              <w:spacing w:after="0" w:line="24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1/1000 Ölçekli İmar Planında Konut Alanı</w:t>
            </w:r>
          </w:p>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(E-1,60 Hmax-24,50)</w:t>
            </w:r>
          </w:p>
        </w:tc>
        <w:tc>
          <w:tcPr>
            <w:tcW w:w="540"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1921</w:t>
            </w:r>
          </w:p>
        </w:tc>
        <w:tc>
          <w:tcPr>
            <w:tcW w:w="642"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8</w:t>
            </w:r>
          </w:p>
        </w:tc>
        <w:tc>
          <w:tcPr>
            <w:tcW w:w="580"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4.918,22</w:t>
            </w:r>
          </w:p>
        </w:tc>
        <w:tc>
          <w:tcPr>
            <w:tcW w:w="1112"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4.918,22</w:t>
            </w:r>
          </w:p>
        </w:tc>
        <w:tc>
          <w:tcPr>
            <w:tcW w:w="1156"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color w:val="000000"/>
                <w:sz w:val="18"/>
                <w:szCs w:val="18"/>
                <w:lang w:eastAsia="tr-TR"/>
              </w:rPr>
              <w:t>2.361.000,00</w:t>
            </w:r>
          </w:p>
        </w:tc>
        <w:tc>
          <w:tcPr>
            <w:tcW w:w="1134"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color w:val="000000"/>
                <w:sz w:val="18"/>
                <w:szCs w:val="18"/>
                <w:lang w:eastAsia="tr-TR"/>
              </w:rPr>
              <w:t>236.100,00</w:t>
            </w:r>
          </w:p>
        </w:tc>
        <w:tc>
          <w:tcPr>
            <w:tcW w:w="1021" w:type="dxa"/>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r w:rsidRPr="00FC41BA">
              <w:rPr>
                <w:rFonts w:ascii="Times New Roman" w:eastAsia="Times New Roman" w:hAnsi="Times New Roman" w:cs="Times New Roman"/>
                <w:sz w:val="18"/>
                <w:szCs w:val="18"/>
                <w:lang w:eastAsia="tr-TR"/>
              </w:rPr>
              <w:t>05.01.2018</w:t>
            </w:r>
          </w:p>
        </w:tc>
        <w:tc>
          <w:tcPr>
            <w:tcW w:w="0" w:type="auto"/>
            <w:tcBorders>
              <w:top w:val="nil"/>
              <w:left w:val="nil"/>
              <w:bottom w:val="single" w:sz="8" w:space="0" w:color="auto"/>
              <w:right w:val="single" w:sz="8" w:space="0" w:color="auto"/>
            </w:tcBorders>
            <w:vAlign w:val="center"/>
            <w:hideMark/>
          </w:tcPr>
          <w:p w:rsidR="00FC41BA" w:rsidRPr="00FC41BA" w:rsidRDefault="00FC41BA" w:rsidP="00FC41BA">
            <w:pPr>
              <w:spacing w:after="0" w:line="20" w:lineRule="atLeast"/>
              <w:jc w:val="center"/>
              <w:rPr>
                <w:rFonts w:ascii="Times New Roman" w:eastAsia="Times New Roman" w:hAnsi="Times New Roman" w:cs="Times New Roman"/>
                <w:sz w:val="20"/>
                <w:szCs w:val="20"/>
                <w:lang w:eastAsia="tr-TR"/>
              </w:rPr>
            </w:pPr>
            <w:proofErr w:type="gramStart"/>
            <w:r w:rsidRPr="00FC41BA">
              <w:rPr>
                <w:rFonts w:ascii="Times New Roman" w:eastAsia="Times New Roman" w:hAnsi="Times New Roman" w:cs="Times New Roman"/>
                <w:sz w:val="18"/>
                <w:szCs w:val="18"/>
                <w:lang w:eastAsia="tr-TR"/>
              </w:rPr>
              <w:t>10:30</w:t>
            </w:r>
            <w:proofErr w:type="gramEnd"/>
          </w:p>
        </w:tc>
      </w:tr>
    </w:tbl>
    <w:p w:rsidR="00FC41BA" w:rsidRPr="00FC41BA" w:rsidRDefault="00FC41BA" w:rsidP="00FC41BA">
      <w:pPr>
        <w:spacing w:after="0" w:line="240" w:lineRule="atLeast"/>
        <w:ind w:firstLine="567"/>
        <w:jc w:val="right"/>
        <w:rPr>
          <w:rFonts w:ascii="Times New Roman" w:eastAsia="Times New Roman" w:hAnsi="Times New Roman" w:cs="Times New Roman"/>
          <w:color w:val="000000"/>
          <w:sz w:val="20"/>
          <w:szCs w:val="20"/>
          <w:lang w:eastAsia="tr-TR"/>
        </w:rPr>
      </w:pPr>
      <w:r w:rsidRPr="00FC41BA">
        <w:rPr>
          <w:rFonts w:ascii="Times New Roman" w:eastAsia="Times New Roman" w:hAnsi="Times New Roman" w:cs="Times New Roman"/>
          <w:color w:val="000000"/>
          <w:sz w:val="18"/>
          <w:szCs w:val="18"/>
          <w:lang w:eastAsia="tr-TR"/>
        </w:rPr>
        <w:t>11017/1-1</w:t>
      </w:r>
    </w:p>
    <w:p w:rsidR="00FC41BA" w:rsidRPr="00FC41BA" w:rsidRDefault="00FC41BA" w:rsidP="00FC41BA">
      <w:pPr>
        <w:spacing w:after="0" w:line="240" w:lineRule="atLeast"/>
        <w:rPr>
          <w:rFonts w:ascii="Times New Roman" w:eastAsia="Times New Roman" w:hAnsi="Times New Roman" w:cs="Times New Roman"/>
          <w:color w:val="000000"/>
          <w:sz w:val="27"/>
          <w:szCs w:val="27"/>
          <w:lang w:eastAsia="tr-TR"/>
        </w:rPr>
      </w:pPr>
      <w:hyperlink r:id="rId5" w:anchor="_top" w:history="1">
        <w:r w:rsidRPr="00FC41B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C41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BA"/>
    <w:rsid w:val="001F5166"/>
    <w:rsid w:val="00D8374E"/>
    <w:rsid w:val="00F436C3"/>
    <w:rsid w:val="00FC4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C41BA"/>
  </w:style>
  <w:style w:type="character" w:customStyle="1" w:styleId="grame">
    <w:name w:val="grame"/>
    <w:basedOn w:val="VarsaylanParagrafYazTipi"/>
    <w:rsid w:val="00FC41BA"/>
  </w:style>
  <w:style w:type="paragraph" w:styleId="NormalWeb">
    <w:name w:val="Normal (Web)"/>
    <w:basedOn w:val="Normal"/>
    <w:uiPriority w:val="99"/>
    <w:semiHidden/>
    <w:unhideWhenUsed/>
    <w:rsid w:val="00FC41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41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C41BA"/>
  </w:style>
  <w:style w:type="character" w:customStyle="1" w:styleId="grame">
    <w:name w:val="grame"/>
    <w:basedOn w:val="VarsaylanParagrafYazTipi"/>
    <w:rsid w:val="00FC41BA"/>
  </w:style>
  <w:style w:type="paragraph" w:styleId="NormalWeb">
    <w:name w:val="Normal (Web)"/>
    <w:basedOn w:val="Normal"/>
    <w:uiPriority w:val="99"/>
    <w:semiHidden/>
    <w:unhideWhenUsed/>
    <w:rsid w:val="00FC41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4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2017-12-22T07:40:00Z</dcterms:created>
  <dcterms:modified xsi:type="dcterms:W3CDTF">2017-12-22T07:41:00Z</dcterms:modified>
</cp:coreProperties>
</file>